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64B5" w:rsidRDefault="00EC54FC">
      <w:r>
        <w:rPr>
          <w:rFonts w:ascii="Cambria" w:eastAsia="Cambria" w:hAnsi="Cambria" w:cs="Cambria"/>
          <w:sz w:val="20"/>
          <w:szCs w:val="20"/>
          <w:u w:val="single"/>
        </w:rPr>
        <w:t>Antigone</w:t>
      </w:r>
    </w:p>
    <w:p w:rsidR="001264B5" w:rsidRDefault="00EC54FC">
      <w:r>
        <w:rPr>
          <w:rFonts w:ascii="Cambria" w:eastAsia="Cambria" w:hAnsi="Cambria" w:cs="Cambria"/>
          <w:sz w:val="20"/>
          <w:szCs w:val="20"/>
        </w:rPr>
        <w:t>Tragic Hero Response</w:t>
      </w:r>
    </w:p>
    <w:p w:rsidR="001264B5" w:rsidRDefault="00EC54FC">
      <w:r>
        <w:rPr>
          <w:rFonts w:ascii="Cambria" w:eastAsia="Cambria" w:hAnsi="Cambria" w:cs="Cambria"/>
          <w:sz w:val="20"/>
          <w:szCs w:val="20"/>
        </w:rPr>
        <w:t>Directions- For your final assessment, you will write an extended APE response that analyzes the following question:</w:t>
      </w:r>
    </w:p>
    <w:p w:rsidR="001264B5" w:rsidRDefault="001264B5"/>
    <w:p w:rsidR="001264B5" w:rsidRDefault="00EC54FC">
      <w:pPr>
        <w:jc w:val="center"/>
      </w:pPr>
      <w:r>
        <w:rPr>
          <w:rFonts w:ascii="Cambria" w:eastAsia="Cambria" w:hAnsi="Cambria" w:cs="Cambria"/>
          <w:i/>
          <w:sz w:val="20"/>
          <w:szCs w:val="20"/>
        </w:rPr>
        <w:t>How does Creon fit one quality of the tragic hero?</w:t>
      </w:r>
    </w:p>
    <w:p w:rsidR="001264B5" w:rsidRDefault="001264B5">
      <w:pPr>
        <w:jc w:val="center"/>
      </w:pPr>
    </w:p>
    <w:p w:rsidR="001264B5" w:rsidRDefault="00EC54FC">
      <w:r>
        <w:rPr>
          <w:rFonts w:ascii="Cambria" w:eastAsia="Cambria" w:hAnsi="Cambria" w:cs="Cambria"/>
          <w:sz w:val="20"/>
          <w:szCs w:val="20"/>
        </w:rPr>
        <w:t>Guidelines:</w:t>
      </w:r>
    </w:p>
    <w:p w:rsidR="001264B5" w:rsidRDefault="00EC54FC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 clear, specific assertion that identifies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one </w:t>
      </w:r>
      <w:r>
        <w:rPr>
          <w:rFonts w:ascii="Cambria" w:eastAsia="Cambria" w:hAnsi="Cambria" w:cs="Cambria"/>
          <w:sz w:val="20"/>
          <w:szCs w:val="20"/>
        </w:rPr>
        <w:t>quality you will discuss</w:t>
      </w:r>
    </w:p>
    <w:p w:rsidR="001264B5" w:rsidRDefault="00EC54FC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At least TWO cited quotations from the play that directly prove how Creon illustrates this quality</w:t>
      </w:r>
    </w:p>
    <w:p w:rsidR="001264B5" w:rsidRDefault="00EC54FC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thorough explanation of each quote, including a translation of its meaning, an ana</w:t>
      </w:r>
      <w:r>
        <w:rPr>
          <w:rFonts w:ascii="Cambria" w:eastAsia="Cambria" w:hAnsi="Cambria" w:cs="Cambria"/>
          <w:sz w:val="20"/>
          <w:szCs w:val="20"/>
        </w:rPr>
        <w:t>lysis of the language/word choice, a discussion of Creon as the tragic hero of the play, and a concluding statement that connects back to your assertion.</w:t>
      </w:r>
    </w:p>
    <w:p w:rsidR="001264B5" w:rsidRDefault="00EC54FC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12 Font, double spaced, approximately one page</w:t>
      </w:r>
    </w:p>
    <w:p w:rsidR="001264B5" w:rsidRDefault="00EC54FC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original title</w:t>
      </w:r>
    </w:p>
    <w:p w:rsidR="001264B5" w:rsidRDefault="001264B5"/>
    <w:p w:rsidR="001264B5" w:rsidRDefault="001264B5"/>
    <w:p w:rsidR="001264B5" w:rsidRDefault="00EC54FC">
      <w:r>
        <w:rPr>
          <w:rFonts w:ascii="Cambria" w:eastAsia="Cambria" w:hAnsi="Cambria" w:cs="Cambria"/>
          <w:sz w:val="20"/>
          <w:szCs w:val="20"/>
        </w:rPr>
        <w:t>Process:</w:t>
      </w:r>
    </w:p>
    <w:p w:rsidR="001264B5" w:rsidRDefault="001264B5"/>
    <w:p w:rsidR="001264B5" w:rsidRDefault="00EC54FC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Tragic Hero Qualities: Co</w:t>
      </w:r>
      <w:r>
        <w:rPr>
          <w:rFonts w:ascii="Cambria" w:eastAsia="Cambria" w:hAnsi="Cambria" w:cs="Cambria"/>
          <w:sz w:val="20"/>
          <w:szCs w:val="20"/>
        </w:rPr>
        <w:t>mplete the Tragic Hero graphic organizer, identifying how Creon fits all of the qualities of the tragic hero. You will then choose ONE.</w:t>
      </w:r>
    </w:p>
    <w:p w:rsidR="001264B5" w:rsidRDefault="001264B5"/>
    <w:p w:rsidR="001264B5" w:rsidRDefault="00EC54FC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“APE/Body paragraph” graphic organizer: Use the graphic </w:t>
      </w:r>
      <w:proofErr w:type="gramStart"/>
      <w:r>
        <w:rPr>
          <w:rFonts w:ascii="Cambria" w:eastAsia="Cambria" w:hAnsi="Cambria" w:cs="Cambria"/>
          <w:sz w:val="20"/>
          <w:szCs w:val="20"/>
        </w:rPr>
        <w:t>organizer  to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begin outlining your ideas. Start by choosing two</w:t>
      </w:r>
      <w:r>
        <w:rPr>
          <w:rFonts w:ascii="Cambria" w:eastAsia="Cambria" w:hAnsi="Cambria" w:cs="Cambria"/>
          <w:sz w:val="20"/>
          <w:szCs w:val="20"/>
        </w:rPr>
        <w:t xml:space="preserve"> pieces of textual evidence to support the quality you will discuss. Then, fill in the organizer with notes/bullet points/brainstorming ideas for your final response.</w:t>
      </w:r>
    </w:p>
    <w:p w:rsidR="001264B5" w:rsidRDefault="00EC54FC">
      <w:r>
        <w:rPr>
          <w:rFonts w:ascii="Cambria" w:eastAsia="Cambria" w:hAnsi="Cambria" w:cs="Cambria"/>
          <w:sz w:val="20"/>
          <w:szCs w:val="20"/>
        </w:rPr>
        <w:tab/>
      </w:r>
    </w:p>
    <w:p w:rsidR="001264B5" w:rsidRDefault="00EC54FC">
      <w:r>
        <w:rPr>
          <w:rFonts w:ascii="Cambria" w:eastAsia="Cambria" w:hAnsi="Cambria" w:cs="Cambria"/>
          <w:sz w:val="20"/>
          <w:szCs w:val="20"/>
        </w:rPr>
        <w:tab/>
      </w:r>
    </w:p>
    <w:p w:rsidR="001264B5" w:rsidRDefault="00EC54FC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Final Response: Use your completed graphic organizer to begin typing your response. </w:t>
      </w:r>
    </w:p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1264B5"/>
    <w:p w:rsidR="001264B5" w:rsidRDefault="00EC54FC">
      <w:r>
        <w:rPr>
          <w:rFonts w:ascii="Cambria" w:eastAsia="Cambria" w:hAnsi="Cambria" w:cs="Cambria"/>
          <w:sz w:val="20"/>
          <w:szCs w:val="20"/>
        </w:rPr>
        <w:t xml:space="preserve">Please use the attached graphic </w:t>
      </w:r>
      <w:proofErr w:type="gramStart"/>
      <w:r>
        <w:rPr>
          <w:rFonts w:ascii="Cambria" w:eastAsia="Cambria" w:hAnsi="Cambria" w:cs="Cambria"/>
          <w:sz w:val="20"/>
          <w:szCs w:val="20"/>
        </w:rPr>
        <w:t>organizers  to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complete the above steps. Your response will be scored based on the World Humanities Informative/Explanatory Writing Rubric on the back of this sheet.</w:t>
      </w:r>
    </w:p>
    <w:p w:rsidR="001264B5" w:rsidRDefault="001264B5"/>
    <w:p w:rsidR="001264B5" w:rsidRDefault="00EC54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World Humanities Rubric- Informative/Explanatory Writing</w:t>
      </w:r>
    </w:p>
    <w:p w:rsidR="001264B5" w:rsidRDefault="00EC54FC">
      <w:pPr>
        <w:spacing w:line="240" w:lineRule="auto"/>
      </w:pPr>
      <w:r>
        <w:rPr>
          <w:rFonts w:ascii="Gungsuh" w:eastAsia="Gungsuh" w:hAnsi="Gungsuh" w:cs="Gungsuh"/>
        </w:rPr>
        <w:t xml:space="preserve">Your essay will be scored based on whether you meet the standard (√), exceed the standard (√+) or fail to meet the standard (√- or √--) of the 5 components below. </w:t>
      </w: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_____ </w:t>
      </w:r>
      <w:r>
        <w:rPr>
          <w:rFonts w:ascii="Times New Roman" w:eastAsia="Times New Roman" w:hAnsi="Times New Roman" w:cs="Times New Roman"/>
          <w:b/>
        </w:rPr>
        <w:t>Statement of Purpose/Focus</w:t>
      </w:r>
    </w:p>
    <w:p w:rsidR="001264B5" w:rsidRDefault="00EC54FC">
      <w:pPr>
        <w:spacing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o meet standard: The response is adequately sustained and generally focused on an academically sound idea. Claim is clear and for the most part maintained. Context provided for the claim is adequate.</w:t>
      </w: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To exceed standard: Response is fully sustained and consistently and purposefully focused. Controlling idea is focused, clearly stated, and strongly maintained. Controlling idea is introduced and communicated clearly within the context.</w:t>
      </w: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_____ </w:t>
      </w:r>
      <w:r>
        <w:rPr>
          <w:rFonts w:ascii="Times New Roman" w:eastAsia="Times New Roman" w:hAnsi="Times New Roman" w:cs="Times New Roman"/>
          <w:b/>
        </w:rPr>
        <w:t>Organizatio</w:t>
      </w:r>
      <w:r>
        <w:rPr>
          <w:rFonts w:ascii="Times New Roman" w:eastAsia="Times New Roman" w:hAnsi="Times New Roman" w:cs="Times New Roman"/>
          <w:b/>
        </w:rPr>
        <w:t>n</w:t>
      </w: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To meet standard: Response has an evident organizational structure and a sense of completeness, incorporating adequate use of transitional strategies with some variety and a clear connection among ideas.  The response demonstrates a sound </w:t>
      </w:r>
      <w:proofErr w:type="gramStart"/>
      <w:r>
        <w:rPr>
          <w:rFonts w:ascii="Times New Roman" w:eastAsia="Times New Roman" w:hAnsi="Times New Roman" w:cs="Times New Roman"/>
        </w:rPr>
        <w:t>progression</w:t>
      </w:r>
      <w:proofErr w:type="gramEnd"/>
      <w:r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 xml:space="preserve">ideas with an adequate introduction and conclusion. </w:t>
      </w: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To exceed standard: Response has a clear and effective organizational structure creating unity and completeness.  Response includes a variety of transitional strategies, logical progression of ideas, ef</w:t>
      </w:r>
      <w:r>
        <w:rPr>
          <w:rFonts w:ascii="Times New Roman" w:eastAsia="Times New Roman" w:hAnsi="Times New Roman" w:cs="Times New Roman"/>
        </w:rPr>
        <w:t>fective introduction and conclusion for audience and purpose, and strong connection among ideas.</w:t>
      </w: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_____ </w:t>
      </w:r>
      <w:r>
        <w:rPr>
          <w:rFonts w:ascii="Times New Roman" w:eastAsia="Times New Roman" w:hAnsi="Times New Roman" w:cs="Times New Roman"/>
          <w:b/>
        </w:rPr>
        <w:t>Elaboration of Evidence</w:t>
      </w: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To meet standard: Response provides adequate support/evidence for the controlling idea or main idea that includes the use of so</w:t>
      </w:r>
      <w:r>
        <w:rPr>
          <w:rFonts w:ascii="Times New Roman" w:eastAsia="Times New Roman" w:hAnsi="Times New Roman" w:cs="Times New Roman"/>
        </w:rPr>
        <w:t>urces, facts and details.  Evidence from source is integrated with adequate use of elaborative techniques.</w:t>
      </w: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To exceed standard: Response provides thorough and convincing support/evidence for controlling idea that includes effective use of sources, facts an</w:t>
      </w:r>
      <w:r>
        <w:rPr>
          <w:rFonts w:ascii="Times New Roman" w:eastAsia="Times New Roman" w:hAnsi="Times New Roman" w:cs="Times New Roman"/>
        </w:rPr>
        <w:t>d details. Evidence is smoothly integrated, comprehensive and concrete with effective use of elaborative techniques.</w:t>
      </w: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  <w:b/>
        </w:rPr>
        <w:t>Literary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Analysis</w:t>
      </w: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To meet standard:  Response demonstrates an adequate understanding of the literary features of the text.  Literary features are identified and analyzed to demonstrate a sound understanding of the text.  </w:t>
      </w: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To exceed standard:  Response demonstrates a deep an</w:t>
      </w:r>
      <w:r>
        <w:rPr>
          <w:rFonts w:ascii="Times New Roman" w:eastAsia="Times New Roman" w:hAnsi="Times New Roman" w:cs="Times New Roman"/>
        </w:rPr>
        <w:t>d rich understanding of the literary features of the text.  Literary features are clearly identified and analyzed in order to present a complex, insightful understanding of how the text works to convey meaning.</w:t>
      </w: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  <w:b/>
        </w:rPr>
        <w:t>Language</w:t>
      </w:r>
      <w:proofErr w:type="gramEnd"/>
      <w:r>
        <w:rPr>
          <w:rFonts w:ascii="Times New Roman" w:eastAsia="Times New Roman" w:hAnsi="Times New Roman" w:cs="Times New Roman"/>
          <w:b/>
        </w:rPr>
        <w:t>, Vocabulary, and Convention</w:t>
      </w:r>
      <w:r>
        <w:rPr>
          <w:rFonts w:ascii="Times New Roman" w:eastAsia="Times New Roman" w:hAnsi="Times New Roman" w:cs="Times New Roman"/>
          <w:b/>
        </w:rPr>
        <w:t>s</w:t>
      </w: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To meet standard: Response adequately expresses ideas, employing a mix of precise with more general language.  Use of domain specific vocabulary is generally appropriate for the audience and purpose.  Response demonstrates an adequate command of conventi</w:t>
      </w:r>
      <w:r>
        <w:rPr>
          <w:rFonts w:ascii="Times New Roman" w:eastAsia="Times New Roman" w:hAnsi="Times New Roman" w:cs="Times New Roman"/>
        </w:rPr>
        <w:t xml:space="preserve">ons.  Some errors in usage and sentence formation may be present, but no systematic pattern of errors is displayed. </w:t>
      </w:r>
      <w:proofErr w:type="gramStart"/>
      <w:r>
        <w:rPr>
          <w:rFonts w:ascii="Times New Roman" w:eastAsia="Times New Roman" w:hAnsi="Times New Roman" w:cs="Times New Roman"/>
        </w:rPr>
        <w:t>Adequate use of punctuation, spelling, and capitalization.</w:t>
      </w:r>
      <w:proofErr w:type="gramEnd"/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</w:rPr>
        <w:t>To exceed standard: Response clearly and effectively expresses ideas, using prec</w:t>
      </w:r>
      <w:r>
        <w:rPr>
          <w:rFonts w:ascii="Times New Roman" w:eastAsia="Times New Roman" w:hAnsi="Times New Roman" w:cs="Times New Roman"/>
        </w:rPr>
        <w:t xml:space="preserve">ise language.  Use of academic and domain specific vocabulary is clearly appropriate for the audience and purpose. Response demonstrates a strong command of conventions: few, if any, errors are present in usage and sentence formation. </w:t>
      </w:r>
      <w:proofErr w:type="gramStart"/>
      <w:r>
        <w:rPr>
          <w:rFonts w:ascii="Times New Roman" w:eastAsia="Times New Roman" w:hAnsi="Times New Roman" w:cs="Times New Roman"/>
        </w:rPr>
        <w:t>Effective and consist</w:t>
      </w:r>
      <w:r>
        <w:rPr>
          <w:rFonts w:ascii="Times New Roman" w:eastAsia="Times New Roman" w:hAnsi="Times New Roman" w:cs="Times New Roman"/>
        </w:rPr>
        <w:t>ent use of punctuation, spelling, and capitalization.</w:t>
      </w:r>
      <w:proofErr w:type="gramEnd"/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Gungsuh" w:eastAsia="Gungsuh" w:hAnsi="Gungsuh" w:cs="Gungsuh"/>
        </w:rPr>
        <w:t>√--</w:t>
      </w:r>
      <w:r>
        <w:rPr>
          <w:rFonts w:ascii="Gungsuh" w:eastAsia="Gungsuh" w:hAnsi="Gungsuh" w:cs="Gungsuh"/>
        </w:rPr>
        <w:tab/>
        <w:t>(1) Fail to complete standard   0-11 pts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  <w:t xml:space="preserve">√+ </w:t>
      </w:r>
      <w:r>
        <w:rPr>
          <w:rFonts w:ascii="Gungsuh" w:eastAsia="Gungsuh" w:hAnsi="Gungsuh" w:cs="Gungsuh"/>
        </w:rPr>
        <w:tab/>
        <w:t>(4) Exceed standard    18-20 pts</w:t>
      </w:r>
    </w:p>
    <w:p w:rsidR="001264B5" w:rsidRDefault="00EC54FC">
      <w:pPr>
        <w:spacing w:line="240" w:lineRule="auto"/>
      </w:pPr>
      <w:r>
        <w:rPr>
          <w:rFonts w:ascii="Gungsuh" w:eastAsia="Gungsuh" w:hAnsi="Gungsuh" w:cs="Gungsuh"/>
        </w:rPr>
        <w:t xml:space="preserve">√- </w:t>
      </w:r>
      <w:r>
        <w:rPr>
          <w:rFonts w:ascii="Gungsuh" w:eastAsia="Gungsuh" w:hAnsi="Gungsuh" w:cs="Gungsuh"/>
        </w:rPr>
        <w:tab/>
        <w:t>(2) Fail to meet standard    14 pts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  <w:t xml:space="preserve">√  </w:t>
      </w:r>
      <w:r>
        <w:rPr>
          <w:rFonts w:ascii="Gungsuh" w:eastAsia="Gungsuh" w:hAnsi="Gungsuh" w:cs="Gungsuh"/>
        </w:rPr>
        <w:tab/>
        <w:t>(3) Meet standard    17 pts</w:t>
      </w:r>
    </w:p>
    <w:p w:rsidR="001264B5" w:rsidRDefault="001264B5">
      <w:pPr>
        <w:spacing w:line="240" w:lineRule="auto"/>
      </w:pPr>
    </w:p>
    <w:p w:rsidR="001264B5" w:rsidRDefault="00EC54F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APE/Body Paragraph Organizer: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the following chart 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outline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your ideas for the extended APE response. You will have ONE assertion based on the quality you choose, with two quotations and explanations. </w:t>
      </w: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tbl>
      <w:tblPr>
        <w:tblStyle w:val="a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4410"/>
        <w:gridCol w:w="4845"/>
      </w:tblGrid>
      <w:tr w:rsidR="001264B5">
        <w:trPr>
          <w:trHeight w:val="2060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Assertion 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Creon fit this specific quality of the tragic hero?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</w:tr>
      <w:tr w:rsidR="001264B5">
        <w:trPr>
          <w:trHeight w:val="1920"/>
        </w:trPr>
        <w:tc>
          <w:tcPr>
            <w:tcW w:w="13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of (Quote #1)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Introduce the quotation by explaining who is speaking and at what moment in the play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</w:tr>
      <w:tr w:rsidR="001264B5">
        <w:trPr>
          <w:trHeight w:val="1980"/>
        </w:trPr>
        <w:tc>
          <w:tcPr>
            <w:tcW w:w="13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Choose a quotation from the play that illustrates Creon acting/saying/behaving in a way that fits the quality you chose (Scene, line #)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</w:tr>
      <w:tr w:rsidR="001264B5">
        <w:trPr>
          <w:trHeight w:val="1620"/>
        </w:trPr>
        <w:tc>
          <w:tcPr>
            <w:tcW w:w="13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meaning of the quotation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</w:tr>
      <w:tr w:rsidR="001264B5">
        <w:trPr>
          <w:trHeight w:val="2240"/>
        </w:trPr>
        <w:tc>
          <w:tcPr>
            <w:tcW w:w="13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any words from the quotation that are meaningful in regards to Creon’s character choices/tragic hero quality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</w:tr>
      <w:tr w:rsidR="001264B5" w:rsidTr="00EC54FC">
        <w:trPr>
          <w:trHeight w:val="2130"/>
        </w:trPr>
        <w:tc>
          <w:tcPr>
            <w:tcW w:w="13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 back by linking all of the ideas you have discussed to your original assertion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4B5" w:rsidRDefault="001264B5">
            <w:pPr>
              <w:widowControl w:val="0"/>
              <w:spacing w:line="240" w:lineRule="auto"/>
            </w:pPr>
          </w:p>
        </w:tc>
      </w:tr>
    </w:tbl>
    <w:tbl>
      <w:tblPr>
        <w:tblStyle w:val="a0"/>
        <w:tblpPr w:leftFromText="180" w:rightFromText="180" w:vertAnchor="text" w:horzAnchor="margin" w:tblpY="-719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4365"/>
        <w:gridCol w:w="4845"/>
      </w:tblGrid>
      <w:tr w:rsidR="00EC54FC" w:rsidTr="00EC54FC">
        <w:trPr>
          <w:trHeight w:val="2860"/>
        </w:trPr>
        <w:tc>
          <w:tcPr>
            <w:tcW w:w="13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Proof (Quote #2)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Introduce the quotation by explaining who is speaking and at what moment in the play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</w:p>
        </w:tc>
      </w:tr>
      <w:tr w:rsidR="00EC54FC" w:rsidTr="00EC54FC">
        <w:trPr>
          <w:trHeight w:val="2600"/>
        </w:trPr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Choose a quotation from the play that illustrates Creon acting/saying/behaving in a way that fits the quality you chose (Scene, line#)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</w:p>
        </w:tc>
      </w:tr>
      <w:tr w:rsidR="00EC54FC" w:rsidTr="00EC54FC">
        <w:trPr>
          <w:trHeight w:val="2680"/>
        </w:trPr>
        <w:tc>
          <w:tcPr>
            <w:tcW w:w="13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meaning of the quotation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</w:p>
        </w:tc>
      </w:tr>
      <w:tr w:rsidR="00EC54FC" w:rsidTr="00EC54FC">
        <w:trPr>
          <w:trHeight w:val="3282"/>
        </w:trPr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any words from the quotation that are meaningful in regards to Creon’s character choices/tragic hero quality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</w:p>
        </w:tc>
      </w:tr>
      <w:tr w:rsidR="00EC54FC" w:rsidTr="00EC54FC">
        <w:trPr>
          <w:trHeight w:val="1950"/>
        </w:trPr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 back by linking all of the ideas you have discussed to your original assertion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4FC" w:rsidRDefault="00EC54FC" w:rsidP="00EC54FC">
            <w:pPr>
              <w:widowControl w:val="0"/>
              <w:spacing w:line="240" w:lineRule="auto"/>
            </w:pPr>
          </w:p>
        </w:tc>
      </w:tr>
    </w:tbl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p w:rsidR="001264B5" w:rsidRDefault="001264B5">
      <w:pPr>
        <w:spacing w:line="240" w:lineRule="auto"/>
      </w:pPr>
    </w:p>
    <w:sectPr w:rsidR="001264B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44B"/>
    <w:multiLevelType w:val="multilevel"/>
    <w:tmpl w:val="3364E3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C5961E1"/>
    <w:multiLevelType w:val="multilevel"/>
    <w:tmpl w:val="5F1E6E6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264B5"/>
    <w:rsid w:val="001264B5"/>
    <w:rsid w:val="006E64B4"/>
    <w:rsid w:val="00E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Kostandin</dc:creator>
  <cp:lastModifiedBy>Sarah Kostandin</cp:lastModifiedBy>
  <cp:revision>3</cp:revision>
  <dcterms:created xsi:type="dcterms:W3CDTF">2016-10-18T13:25:00Z</dcterms:created>
  <dcterms:modified xsi:type="dcterms:W3CDTF">2016-10-18T13:26:00Z</dcterms:modified>
</cp:coreProperties>
</file>